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2D385" w14:textId="4068B9E3" w:rsidR="008C5CD7" w:rsidRPr="002A6A93" w:rsidRDefault="00C37469" w:rsidP="002A6A93">
      <w:pPr>
        <w:tabs>
          <w:tab w:val="right" w:pos="14459"/>
        </w:tabs>
        <w:spacing w:after="60"/>
        <w:ind w:left="-284"/>
        <w:rPr>
          <w:rFonts w:ascii="Arial" w:hAnsi="Arial" w:cs="Arial"/>
          <w:b/>
          <w:bCs/>
          <w:sz w:val="24"/>
          <w:szCs w:val="24"/>
        </w:rPr>
      </w:pPr>
      <w:r w:rsidRPr="002A6A93">
        <w:rPr>
          <w:rFonts w:ascii="Arial" w:hAnsi="Arial" w:cs="Arial"/>
          <w:b/>
          <w:bCs/>
          <w:sz w:val="24"/>
          <w:szCs w:val="24"/>
        </w:rPr>
        <w:t>Lehrplan für die</w:t>
      </w:r>
      <w:r w:rsidR="003E2CC0" w:rsidRPr="002A6A93">
        <w:rPr>
          <w:rFonts w:ascii="Arial" w:hAnsi="Arial" w:cs="Arial"/>
          <w:b/>
          <w:bCs/>
          <w:sz w:val="24"/>
          <w:szCs w:val="24"/>
        </w:rPr>
        <w:t xml:space="preserve"> Berufsfachschule: </w:t>
      </w:r>
      <w:r w:rsidR="00647D50" w:rsidRPr="002A6A93">
        <w:rPr>
          <w:rFonts w:ascii="Arial" w:hAnsi="Arial" w:cs="Arial"/>
          <w:b/>
          <w:bCs/>
          <w:sz w:val="24"/>
          <w:szCs w:val="24"/>
        </w:rPr>
        <w:tab/>
        <w:t>Reparaturen, Ergänzungen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954"/>
        <w:gridCol w:w="3955"/>
        <w:gridCol w:w="447"/>
        <w:gridCol w:w="2977"/>
        <w:gridCol w:w="2835"/>
      </w:tblGrid>
      <w:tr w:rsidR="00EB0B57" w:rsidRPr="00BF27A0" w14:paraId="2BC1265B" w14:textId="77777777" w:rsidTr="009838F9">
        <w:trPr>
          <w:trHeight w:val="518"/>
        </w:trPr>
        <w:tc>
          <w:tcPr>
            <w:tcW w:w="15168" w:type="dxa"/>
            <w:gridSpan w:val="5"/>
            <w:vAlign w:val="center"/>
          </w:tcPr>
          <w:p w14:paraId="3E2BA762" w14:textId="72E1D9FC" w:rsidR="00EB0B57" w:rsidRPr="00A57E89" w:rsidRDefault="00EB0B57" w:rsidP="00A57E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Lernthema: Bruchreparatur einer Totalprothese</w:t>
            </w:r>
          </w:p>
        </w:tc>
      </w:tr>
      <w:tr w:rsidR="00FE202A" w:rsidRPr="00BF27A0" w14:paraId="15AB6C95" w14:textId="77777777">
        <w:tc>
          <w:tcPr>
            <w:tcW w:w="4954" w:type="dxa"/>
          </w:tcPr>
          <w:p w14:paraId="2BE93D0A" w14:textId="1A0E7C72" w:rsidR="00FE202A" w:rsidRPr="00BF27A0" w:rsidRDefault="00114A12" w:rsidP="002A6A9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Zeitpunkt: </w:t>
            </w:r>
            <w:r w:rsidR="007E6278" w:rsidRPr="00114A1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D57C1" w:rsidRPr="00114A1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E660DD" w:rsidRPr="00114A12">
              <w:rPr>
                <w:rFonts w:ascii="Arial" w:hAnsi="Arial" w:cs="Arial"/>
                <w:bCs/>
                <w:sz w:val="20"/>
                <w:szCs w:val="20"/>
              </w:rPr>
              <w:t xml:space="preserve"> Semester</w:t>
            </w:r>
          </w:p>
        </w:tc>
        <w:tc>
          <w:tcPr>
            <w:tcW w:w="3955" w:type="dxa"/>
          </w:tcPr>
          <w:p w14:paraId="2A2E98DF" w14:textId="77777777" w:rsidR="00A57E89" w:rsidRPr="00114A12" w:rsidRDefault="00FE202A" w:rsidP="002A6A9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A12">
              <w:rPr>
                <w:rFonts w:ascii="Arial" w:hAnsi="Arial" w:cs="Arial"/>
                <w:b/>
                <w:bCs/>
                <w:sz w:val="20"/>
                <w:szCs w:val="20"/>
              </w:rPr>
              <w:t>Handlu</w:t>
            </w:r>
            <w:r w:rsidR="00A57E89" w:rsidRPr="00114A12">
              <w:rPr>
                <w:rFonts w:ascii="Arial" w:hAnsi="Arial" w:cs="Arial"/>
                <w:b/>
                <w:bCs/>
                <w:sz w:val="20"/>
                <w:szCs w:val="20"/>
              </w:rPr>
              <w:t>ngskompetenzen</w:t>
            </w:r>
          </w:p>
          <w:p w14:paraId="74BEAAB9" w14:textId="270DD1D4" w:rsidR="002A6A93" w:rsidRDefault="002A6A93" w:rsidP="0027130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A1</w:t>
            </w:r>
          </w:p>
          <w:p w14:paraId="2DD76327" w14:textId="35D14006" w:rsidR="00A57E89" w:rsidRPr="002A6A93" w:rsidRDefault="00FE202A" w:rsidP="002A6A93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14A12">
              <w:rPr>
                <w:rFonts w:ascii="Arial" w:hAnsi="Arial" w:cs="Arial"/>
                <w:bCs/>
                <w:sz w:val="20"/>
                <w:szCs w:val="20"/>
              </w:rPr>
              <w:t>E1,</w:t>
            </w:r>
            <w:r w:rsidR="00044A72" w:rsidRPr="00114A1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57E89" w:rsidRPr="00114A12">
              <w:rPr>
                <w:rFonts w:ascii="Arial" w:hAnsi="Arial" w:cs="Arial"/>
                <w:bCs/>
                <w:sz w:val="20"/>
                <w:szCs w:val="20"/>
              </w:rPr>
              <w:t>E2</w:t>
            </w:r>
          </w:p>
        </w:tc>
        <w:tc>
          <w:tcPr>
            <w:tcW w:w="6259" w:type="dxa"/>
            <w:gridSpan w:val="3"/>
          </w:tcPr>
          <w:p w14:paraId="0530213E" w14:textId="77777777" w:rsidR="002A6A93" w:rsidRPr="004371C6" w:rsidRDefault="002A6A93" w:rsidP="002A6A93">
            <w:pPr>
              <w:spacing w:before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HKB A: 2. Semester 5 Lektionen</w:t>
            </w:r>
          </w:p>
          <w:p w14:paraId="3B03A3B0" w14:textId="1F3CD62D" w:rsidR="00FE202A" w:rsidRPr="003E2FC6" w:rsidRDefault="00A57E89" w:rsidP="002A6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HKB </w:t>
            </w:r>
            <w:r w:rsidR="0027130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E: </w:t>
            </w:r>
            <w:r w:rsidR="005C6AE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C678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5C6AE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Semester 1</w:t>
            </w:r>
            <w:r w:rsidR="005C6AE5" w:rsidRPr="004371C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Lektionen</w:t>
            </w:r>
          </w:p>
        </w:tc>
      </w:tr>
      <w:tr w:rsidR="00C510FE" w:rsidRPr="00BF27A0" w14:paraId="41F55C35" w14:textId="77777777">
        <w:tc>
          <w:tcPr>
            <w:tcW w:w="15168" w:type="dxa"/>
            <w:gridSpan w:val="5"/>
            <w:shd w:val="clear" w:color="auto" w:fill="DBE5F1" w:themeFill="accent1" w:themeFillTint="33"/>
          </w:tcPr>
          <w:p w14:paraId="6C715B34" w14:textId="77777777" w:rsidR="00FE202A" w:rsidRPr="001D55C9" w:rsidRDefault="00FE202A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Typische Situation</w:t>
            </w:r>
          </w:p>
          <w:p w14:paraId="10C79C36" w14:textId="21CEC695" w:rsidR="00036DB0" w:rsidRDefault="002D27F6" w:rsidP="00036DB0">
            <w:pPr>
              <w:spacing w:after="60"/>
              <w:rPr>
                <w:rFonts w:ascii="Arial" w:hAnsi="Arial"/>
                <w:sz w:val="20"/>
                <w:szCs w:val="20"/>
              </w:rPr>
            </w:pPr>
            <w:r w:rsidRPr="00393574">
              <w:rPr>
                <w:rFonts w:ascii="Arial" w:hAnsi="Arial"/>
                <w:sz w:val="20"/>
                <w:szCs w:val="20"/>
              </w:rPr>
              <w:t>Ein Patient kommt mit einer Ober</w:t>
            </w:r>
            <w:r w:rsidR="00C67851">
              <w:rPr>
                <w:rFonts w:ascii="Arial" w:hAnsi="Arial"/>
                <w:sz w:val="20"/>
                <w:szCs w:val="20"/>
              </w:rPr>
              <w:t xml:space="preserve">kiefer Totalprothese ins Labor. </w:t>
            </w:r>
            <w:r w:rsidRPr="00393574">
              <w:rPr>
                <w:rFonts w:ascii="Arial" w:hAnsi="Arial"/>
                <w:sz w:val="20"/>
                <w:szCs w:val="20"/>
              </w:rPr>
              <w:t>Die Proth</w:t>
            </w:r>
            <w:r w:rsidR="00C67851">
              <w:rPr>
                <w:rFonts w:ascii="Arial" w:hAnsi="Arial"/>
                <w:sz w:val="20"/>
                <w:szCs w:val="20"/>
              </w:rPr>
              <w:t xml:space="preserve">ese ist zwischen den Zähnen 11 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und 21 </w:t>
            </w:r>
            <w:r>
              <w:rPr>
                <w:rFonts w:ascii="Arial" w:hAnsi="Arial"/>
                <w:sz w:val="20"/>
                <w:szCs w:val="20"/>
              </w:rPr>
              <w:t>nach oral glatt gebrochen</w:t>
            </w:r>
            <w:r w:rsidRPr="00393574"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/>
                <w:sz w:val="20"/>
                <w:szCs w:val="20"/>
              </w:rPr>
              <w:t xml:space="preserve">Der Patient erkundigt sich bei </w:t>
            </w:r>
            <w:r w:rsidR="00C67851"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>hnen</w:t>
            </w:r>
            <w:r w:rsidR="00C67851">
              <w:rPr>
                <w:rFonts w:ascii="Arial" w:hAnsi="Arial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ob der Bruch repariert werden kann, da er für 14 Tage in die Ferien geht. Sie machen ihn darauf aufmerksam</w:t>
            </w:r>
            <w:r w:rsidR="002A6A93">
              <w:rPr>
                <w:rFonts w:ascii="Arial" w:hAnsi="Arial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dass die Prothese unbedingt vom </w:t>
            </w:r>
            <w:r w:rsidR="00C67851">
              <w:rPr>
                <w:rFonts w:ascii="Arial" w:hAnsi="Arial"/>
                <w:sz w:val="20"/>
                <w:szCs w:val="20"/>
              </w:rPr>
              <w:t xml:space="preserve">Zahnarzt </w:t>
            </w:r>
            <w:r>
              <w:rPr>
                <w:rFonts w:ascii="Arial" w:hAnsi="Arial"/>
                <w:sz w:val="20"/>
                <w:szCs w:val="20"/>
              </w:rPr>
              <w:t xml:space="preserve">unterfüttert werden muss, da der Bruch sonst wieder auftritt. Der Patient ist damit einverstanden. Er wird nach den Ferien den Zahnarzt aufsuchen. </w:t>
            </w:r>
          </w:p>
          <w:p w14:paraId="53C4DA3E" w14:textId="2F12E828" w:rsidR="00C510FE" w:rsidRPr="00036DB0" w:rsidRDefault="002D27F6" w:rsidP="0004106B">
            <w:pPr>
              <w:spacing w:after="60"/>
              <w:rPr>
                <w:rFonts w:ascii="Arial" w:hAnsi="Arial"/>
                <w:sz w:val="20"/>
                <w:szCs w:val="20"/>
              </w:rPr>
            </w:pPr>
            <w:r w:rsidRPr="00393574">
              <w:rPr>
                <w:rFonts w:ascii="Arial" w:hAnsi="Arial" w:cs="Arial"/>
                <w:sz w:val="20"/>
                <w:szCs w:val="20"/>
              </w:rPr>
              <w:t>Als erster Schritt</w:t>
            </w:r>
            <w:r>
              <w:rPr>
                <w:rFonts w:ascii="Arial" w:hAnsi="Arial"/>
                <w:sz w:val="20"/>
                <w:szCs w:val="20"/>
              </w:rPr>
              <w:t xml:space="preserve"> desinfizieren Sie die Prothese, kleben die Bruchkanten zusammen und stellen ein Modell her. </w:t>
            </w:r>
            <w:r w:rsidR="00C67851">
              <w:rPr>
                <w:rFonts w:ascii="Arial" w:hAnsi="Arial" w:cs="Arial"/>
                <w:sz w:val="20"/>
                <w:szCs w:val="20"/>
              </w:rPr>
              <w:t>Nach A</w:t>
            </w:r>
            <w:r>
              <w:rPr>
                <w:rFonts w:ascii="Arial" w:hAnsi="Arial" w:cs="Arial"/>
                <w:sz w:val="20"/>
                <w:szCs w:val="20"/>
              </w:rPr>
              <w:t>nsch</w:t>
            </w:r>
            <w:r w:rsidR="00C67851">
              <w:rPr>
                <w:rFonts w:ascii="Arial" w:hAnsi="Arial" w:cs="Arial"/>
                <w:sz w:val="20"/>
                <w:szCs w:val="20"/>
              </w:rPr>
              <w:t>leifen der Bruchkanten stellen S</w:t>
            </w:r>
            <w:r>
              <w:rPr>
                <w:rFonts w:ascii="Arial" w:hAnsi="Arial" w:cs="Arial"/>
                <w:sz w:val="20"/>
                <w:szCs w:val="20"/>
              </w:rPr>
              <w:t>ie die Reparatur mit den passenden Materialien fertig. Die fertige Arb</w:t>
            </w:r>
            <w:r w:rsidR="00C67851">
              <w:rPr>
                <w:rFonts w:ascii="Arial" w:hAnsi="Arial" w:cs="Arial"/>
                <w:sz w:val="20"/>
                <w:szCs w:val="20"/>
              </w:rPr>
              <w:t>eit übergeben Sie dem Patienten und rechnen die Arbeit direkt mit ihm ab.</w:t>
            </w:r>
          </w:p>
        </w:tc>
      </w:tr>
      <w:tr w:rsidR="00036DB0" w:rsidRPr="00BF27A0" w14:paraId="70A31AD2" w14:textId="77777777" w:rsidTr="004F50E3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7CDF355E" w14:textId="59570B4C" w:rsidR="00036DB0" w:rsidRPr="00FE202A" w:rsidRDefault="00036DB0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>Leistungsziele gemäss Bildungsplan</w:t>
            </w:r>
          </w:p>
          <w:p w14:paraId="6B869F2F" w14:textId="6A32D6EA" w:rsidR="004F50E3" w:rsidRDefault="004F50E3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A.1.3 ZT legen die verschiedenen Schritte und Vorgehensmöglichkeiten bei einem Kundengespräch dar (K2)</w:t>
            </w:r>
            <w:r w:rsidR="00AA038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695BBEC" w14:textId="0F78220D" w:rsidR="004F50E3" w:rsidRPr="004F50E3" w:rsidRDefault="004F50E3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A.1.4 ZT erläutern mit Fachbegriffen die Inhalte eines Beratungsgespräches (K2)</w:t>
            </w:r>
            <w:r w:rsidR="00AA038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DF3F791" w14:textId="2AB61473" w:rsidR="00036DB0" w:rsidRPr="001219AE" w:rsidRDefault="004F50E3" w:rsidP="00052F3F">
            <w:pPr>
              <w:pStyle w:val="Listenabsatz"/>
              <w:numPr>
                <w:ilvl w:val="0"/>
                <w:numId w:val="9"/>
              </w:numPr>
              <w:ind w:left="459" w:hanging="2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E.1.1 ZT </w:t>
            </w:r>
            <w:r w:rsidR="00052F3F">
              <w:rPr>
                <w:rFonts w:ascii="Arial" w:hAnsi="Arial" w:cs="Arial"/>
                <w:bCs/>
                <w:sz w:val="20"/>
                <w:szCs w:val="20"/>
              </w:rPr>
              <w:t>erläutern Abnützungen und Schäden an abnehmbarem und bedingt ab</w:t>
            </w:r>
            <w:r w:rsidR="00052F3F" w:rsidRPr="00052F3F">
              <w:rPr>
                <w:rFonts w:ascii="Arial" w:hAnsi="Arial" w:cs="Arial"/>
                <w:bCs/>
                <w:sz w:val="20"/>
                <w:szCs w:val="20"/>
              </w:rPr>
              <w:t>nehmbarem Zahnersatz sowie an kieferorthop</w:t>
            </w:r>
            <w:r w:rsidR="00052F3F">
              <w:rPr>
                <w:rFonts w:ascii="Arial" w:hAnsi="Arial" w:cs="Arial"/>
                <w:bCs/>
                <w:sz w:val="20"/>
                <w:szCs w:val="20"/>
              </w:rPr>
              <w:t>ädischen Appa</w:t>
            </w:r>
            <w:r w:rsidR="00052F3F" w:rsidRPr="00052F3F">
              <w:rPr>
                <w:rFonts w:ascii="Arial" w:hAnsi="Arial" w:cs="Arial"/>
                <w:bCs/>
                <w:sz w:val="20"/>
                <w:szCs w:val="20"/>
              </w:rPr>
              <w:t>raturen und Schienen (K2).</w:t>
            </w:r>
          </w:p>
          <w:p w14:paraId="736D6D2F" w14:textId="7912AB3E" w:rsidR="00036DB0" w:rsidRPr="00FB6A2D" w:rsidRDefault="00036DB0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E.1.2 ZT </w:t>
            </w:r>
            <w:r w:rsidR="004F50E3" w:rsidRPr="00FB6A2D">
              <w:rPr>
                <w:rFonts w:ascii="Arial" w:hAnsi="Arial" w:cs="Arial"/>
                <w:sz w:val="20"/>
                <w:szCs w:val="20"/>
              </w:rPr>
              <w:t>ordnen Schäden an abnehmbarem sowie bedingt abnehmbarem Zahnersatz, kieferorthopädischen Apparaten und Schienen und beg</w:t>
            </w:r>
            <w:r w:rsidR="00AA0387">
              <w:rPr>
                <w:rFonts w:ascii="Arial" w:hAnsi="Arial" w:cs="Arial"/>
                <w:sz w:val="20"/>
                <w:szCs w:val="20"/>
              </w:rPr>
              <w:t>ründet den Ursachen zu</w:t>
            </w:r>
            <w:r w:rsidR="004F50E3" w:rsidRPr="00FB6A2D">
              <w:rPr>
                <w:rFonts w:ascii="Arial" w:hAnsi="Arial" w:cs="Arial"/>
                <w:sz w:val="20"/>
                <w:szCs w:val="20"/>
              </w:rPr>
              <w:t xml:space="preserve"> (K3)</w:t>
            </w:r>
            <w:r w:rsidR="00AA038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AC412A" w14:textId="7C314FCF" w:rsidR="00FB6A2D" w:rsidRPr="00FB6A2D" w:rsidRDefault="00FB6A2D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E.1.3 ZT erläutern für typische Schadensbilder sinnvolle Nachsorge-, Reparatur- und Servicemöglichkeiten (K2). </w:t>
            </w:r>
          </w:p>
          <w:p w14:paraId="0ACFB2EF" w14:textId="5BE6AFEC" w:rsidR="00FB6A2D" w:rsidRPr="00FB6A2D" w:rsidRDefault="00FB6A2D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</w:rPr>
            </w:pPr>
            <w:r w:rsidRPr="00FB6A2D">
              <w:rPr>
                <w:rFonts w:ascii="Arial" w:hAnsi="Arial" w:cs="Arial"/>
                <w:sz w:val="20"/>
                <w:szCs w:val="20"/>
              </w:rPr>
              <w:t xml:space="preserve">E.1.4 </w:t>
            </w:r>
            <w:r w:rsidR="00052F3F">
              <w:rPr>
                <w:rFonts w:ascii="Arial" w:hAnsi="Arial" w:cs="Arial"/>
                <w:sz w:val="20"/>
                <w:szCs w:val="20"/>
              </w:rPr>
              <w:t>ZT</w:t>
            </w:r>
            <w:r w:rsidR="002A6A93">
              <w:rPr>
                <w:rFonts w:ascii="Arial" w:hAnsi="Arial" w:cs="Arial"/>
                <w:sz w:val="20"/>
                <w:szCs w:val="20"/>
              </w:rPr>
              <w:t xml:space="preserve"> beurteilen Ver</w:t>
            </w:r>
            <w:r w:rsidRPr="00FB6A2D">
              <w:rPr>
                <w:rFonts w:ascii="Arial" w:hAnsi="Arial" w:cs="Arial"/>
                <w:sz w:val="20"/>
                <w:szCs w:val="20"/>
              </w:rPr>
              <w:t>fahren für Nachsorgearbeiten, Serviceleistungen, Reparaturen und Erweiterungen hinsichtlich Aufwand/Kosten, Funktionen, Ästhetik, Lebensdauer und Kundenwunsch (K4</w:t>
            </w:r>
            <w:r w:rsidRPr="00FB6A2D">
              <w:rPr>
                <w:rFonts w:ascii="Arial" w:hAnsi="Arial" w:cs="Arial"/>
              </w:rPr>
              <w:t xml:space="preserve">). </w:t>
            </w:r>
          </w:p>
          <w:p w14:paraId="6E006BFB" w14:textId="77777777" w:rsidR="00036DB0" w:rsidRDefault="00036DB0" w:rsidP="002A6A93">
            <w:pPr>
              <w:pStyle w:val="Listenabsatz"/>
              <w:numPr>
                <w:ilvl w:val="0"/>
                <w:numId w:val="9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E.2.1 ZT erklären die für die Reparatur, von abnehmbarem und bedingt abnehmbarem Zahnersatz notwendigen Arbeitsschritte</w:t>
            </w:r>
            <w:r w:rsidR="00FB6A2D">
              <w:rPr>
                <w:rFonts w:ascii="Arial" w:hAnsi="Arial" w:cs="Arial"/>
                <w:sz w:val="20"/>
                <w:szCs w:val="20"/>
              </w:rPr>
              <w:t xml:space="preserve"> (K2).</w:t>
            </w:r>
          </w:p>
          <w:p w14:paraId="48029969" w14:textId="2950803C" w:rsidR="00FB6A2D" w:rsidRPr="00FE202A" w:rsidRDefault="00FB6A2D" w:rsidP="002A6A93">
            <w:pPr>
              <w:pStyle w:val="Listenabsatz"/>
              <w:numPr>
                <w:ilvl w:val="0"/>
                <w:numId w:val="9"/>
              </w:numPr>
              <w:spacing w:after="60"/>
              <w:ind w:left="459" w:hanging="28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219AE">
              <w:rPr>
                <w:rFonts w:ascii="Arial" w:hAnsi="Arial" w:cs="Arial"/>
                <w:sz w:val="20"/>
                <w:szCs w:val="20"/>
              </w:rPr>
              <w:t>E.2.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219AE">
              <w:rPr>
                <w:rFonts w:ascii="Arial" w:hAnsi="Arial" w:cs="Arial"/>
                <w:sz w:val="20"/>
                <w:szCs w:val="20"/>
              </w:rPr>
              <w:t xml:space="preserve"> ZT erklären die für die </w:t>
            </w:r>
            <w:r>
              <w:rPr>
                <w:rFonts w:ascii="Arial" w:hAnsi="Arial" w:cs="Arial"/>
                <w:sz w:val="20"/>
                <w:szCs w:val="20"/>
              </w:rPr>
              <w:t>Erweiterung</w:t>
            </w:r>
            <w:r w:rsidRPr="001219AE">
              <w:rPr>
                <w:rFonts w:ascii="Arial" w:hAnsi="Arial" w:cs="Arial"/>
                <w:sz w:val="20"/>
                <w:szCs w:val="20"/>
              </w:rPr>
              <w:t>, von abnehmbarem und bedingt abnehmbarem Zahnersatz notwendigen Arbeitsschritte</w:t>
            </w:r>
            <w:r>
              <w:rPr>
                <w:rFonts w:ascii="Arial" w:hAnsi="Arial" w:cs="Arial"/>
                <w:sz w:val="20"/>
                <w:szCs w:val="20"/>
              </w:rPr>
              <w:t xml:space="preserve"> (K2).</w:t>
            </w:r>
            <w:bookmarkStart w:id="0" w:name="_GoBack"/>
            <w:bookmarkEnd w:id="0"/>
          </w:p>
        </w:tc>
        <w:tc>
          <w:tcPr>
            <w:tcW w:w="5812" w:type="dxa"/>
            <w:gridSpan w:val="2"/>
          </w:tcPr>
          <w:p w14:paraId="4F7EEBBF" w14:textId="77777777" w:rsidR="00036DB0" w:rsidRPr="00FE202A" w:rsidRDefault="00036DB0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E202A">
              <w:rPr>
                <w:rFonts w:ascii="Arial" w:hAnsi="Arial" w:cs="Arial"/>
                <w:b/>
                <w:sz w:val="20"/>
                <w:szCs w:val="20"/>
              </w:rPr>
              <w:t xml:space="preserve">Themen </w:t>
            </w:r>
          </w:p>
          <w:p w14:paraId="1F020938" w14:textId="05282E6F" w:rsidR="004F50E3" w:rsidRDefault="004F50E3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Kundengespräch: Aufklärung über mögliche Ursachen des Defektes.</w:t>
            </w:r>
          </w:p>
          <w:p w14:paraId="5326E710" w14:textId="77777777" w:rsidR="00036DB0" w:rsidRPr="00FE202A" w:rsidRDefault="00036DB0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Modellherstellung</w:t>
            </w:r>
          </w:p>
          <w:p w14:paraId="167B2123" w14:textId="77777777" w:rsidR="00036DB0" w:rsidRPr="00FE202A" w:rsidRDefault="00036DB0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Planung</w:t>
            </w:r>
          </w:p>
          <w:p w14:paraId="0CB30AC5" w14:textId="77777777" w:rsidR="00036DB0" w:rsidRPr="00FE202A" w:rsidRDefault="00036DB0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Ablauf</w:t>
            </w:r>
          </w:p>
          <w:p w14:paraId="1A7BE47F" w14:textId="223086D7" w:rsidR="00036DB0" w:rsidRPr="004F50E3" w:rsidRDefault="00036DB0" w:rsidP="00144617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Materialien</w:t>
            </w:r>
            <w:r w:rsidR="004F50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50E3">
              <w:rPr>
                <w:rFonts w:ascii="Arial" w:hAnsi="Arial" w:cs="Arial"/>
                <w:sz w:val="20"/>
                <w:szCs w:val="20"/>
              </w:rPr>
              <w:t>Kunststoff</w:t>
            </w:r>
            <w:r w:rsidR="004F50E3">
              <w:rPr>
                <w:rFonts w:ascii="Arial" w:hAnsi="Arial" w:cs="Arial"/>
                <w:sz w:val="20"/>
                <w:szCs w:val="20"/>
              </w:rPr>
              <w:t>, Metallgitter, Glasfaser</w:t>
            </w:r>
          </w:p>
          <w:p w14:paraId="1DF98EF1" w14:textId="77777777" w:rsidR="00036DB0" w:rsidRDefault="00036DB0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Arbeitssicherheit</w:t>
            </w:r>
          </w:p>
          <w:p w14:paraId="09ED6CE0" w14:textId="77777777" w:rsidR="00036DB0" w:rsidRDefault="00036DB0" w:rsidP="0075538D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Gesundheitsschutz</w:t>
            </w:r>
          </w:p>
          <w:p w14:paraId="50D26575" w14:textId="77777777" w:rsidR="004F50E3" w:rsidRDefault="00036DB0" w:rsidP="004F50E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144617">
              <w:rPr>
                <w:rFonts w:ascii="Arial" w:hAnsi="Arial" w:cs="Arial"/>
                <w:sz w:val="20"/>
                <w:szCs w:val="20"/>
              </w:rPr>
              <w:t>Hygiene</w:t>
            </w:r>
          </w:p>
          <w:p w14:paraId="632CAC3E" w14:textId="77777777" w:rsidR="004F50E3" w:rsidRDefault="00036DB0" w:rsidP="004F50E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4F50E3">
              <w:rPr>
                <w:rFonts w:ascii="Arial" w:hAnsi="Arial" w:cs="Arial"/>
                <w:sz w:val="20"/>
                <w:szCs w:val="20"/>
              </w:rPr>
              <w:t>Rotierende Instrumente</w:t>
            </w:r>
          </w:p>
          <w:p w14:paraId="4D953871" w14:textId="43D8B438" w:rsidR="004F50E3" w:rsidRPr="004F50E3" w:rsidRDefault="004F50E3" w:rsidP="004F50E3">
            <w:pPr>
              <w:pStyle w:val="Listenabsatz"/>
              <w:numPr>
                <w:ilvl w:val="0"/>
                <w:numId w:val="6"/>
              </w:numPr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Tarifpositionen</w:t>
            </w:r>
          </w:p>
        </w:tc>
      </w:tr>
      <w:tr w:rsidR="002A6A93" w:rsidRPr="00BF27A0" w14:paraId="48CD4615" w14:textId="77777777" w:rsidTr="00E56CE1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35600A74" w14:textId="77777777" w:rsidR="002A6A93" w:rsidRPr="00C37469" w:rsidRDefault="002A6A93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7469">
              <w:rPr>
                <w:rFonts w:ascii="Arial" w:hAnsi="Arial" w:cs="Arial"/>
                <w:b/>
                <w:sz w:val="20"/>
                <w:szCs w:val="20"/>
              </w:rPr>
              <w:t>Ausgewählte MSSK gemäss Bildungsplan</w:t>
            </w:r>
          </w:p>
          <w:p w14:paraId="407DC94D" w14:textId="77777777" w:rsidR="002A6A93" w:rsidRPr="00BF27A0" w:rsidRDefault="002A6A93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wickeln den Auftrag gemäss Auftragsformular ab.</w:t>
            </w:r>
          </w:p>
          <w:p w14:paraId="34A05B8D" w14:textId="77777777" w:rsidR="002A6A93" w:rsidRPr="00BF27A0" w:rsidRDefault="002A6A93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 w:rsidRPr="00BF27A0">
              <w:rPr>
                <w:rFonts w:ascii="Arial" w:hAnsi="Arial" w:cs="Arial"/>
                <w:sz w:val="20"/>
                <w:szCs w:val="20"/>
              </w:rPr>
              <w:t xml:space="preserve">Bei Unklarheiten nehmen </w:t>
            </w: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Rücksprache mit dem Kunden</w:t>
            </w:r>
            <w:r>
              <w:rPr>
                <w:rFonts w:ascii="Arial" w:hAnsi="Arial" w:cs="Arial"/>
                <w:sz w:val="20"/>
                <w:szCs w:val="20"/>
              </w:rPr>
              <w:t xml:space="preserve"> / der Kundin</w:t>
            </w:r>
            <w:r w:rsidRPr="00BF27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72269E" w14:textId="77777777" w:rsidR="002A6A93" w:rsidRDefault="002A6A93" w:rsidP="00866946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ZT</w:t>
            </w:r>
            <w:r w:rsidRPr="00BF27A0">
              <w:rPr>
                <w:rFonts w:ascii="Arial" w:hAnsi="Arial" w:cs="Arial"/>
                <w:sz w:val="20"/>
                <w:szCs w:val="20"/>
              </w:rPr>
              <w:t xml:space="preserve"> gehen mit Materialien wirtschaftlich um.</w:t>
            </w:r>
          </w:p>
          <w:p w14:paraId="2CAB75A7" w14:textId="49E1E745" w:rsidR="002A6A93" w:rsidRPr="002A6A93" w:rsidRDefault="002A6A93" w:rsidP="002A6A93">
            <w:pPr>
              <w:pStyle w:val="Listenabsatz"/>
              <w:numPr>
                <w:ilvl w:val="0"/>
                <w:numId w:val="6"/>
              </w:numPr>
              <w:spacing w:after="60"/>
              <w:ind w:left="459" w:hanging="278"/>
              <w:rPr>
                <w:rFonts w:ascii="Arial" w:hAnsi="Arial" w:cs="Arial"/>
                <w:sz w:val="20"/>
                <w:szCs w:val="20"/>
              </w:rPr>
            </w:pPr>
            <w:r w:rsidRPr="002A6A93">
              <w:rPr>
                <w:rFonts w:ascii="Arial" w:hAnsi="Arial" w:cs="Arial"/>
                <w:sz w:val="20"/>
                <w:szCs w:val="20"/>
              </w:rPr>
              <w:t>ZT entsorgen Abfälle gemäss gesetzlichen Vorschriften.</w:t>
            </w:r>
          </w:p>
        </w:tc>
      </w:tr>
      <w:tr w:rsidR="00B43709" w:rsidRPr="00BF27A0" w14:paraId="1587156E" w14:textId="77777777">
        <w:trPr>
          <w:trHeight w:val="336"/>
        </w:trPr>
        <w:tc>
          <w:tcPr>
            <w:tcW w:w="9356" w:type="dxa"/>
            <w:gridSpan w:val="3"/>
            <w:shd w:val="clear" w:color="auto" w:fill="FFFFFF" w:themeFill="background1"/>
          </w:tcPr>
          <w:p w14:paraId="0606793C" w14:textId="77777777" w:rsidR="00B43709" w:rsidRDefault="00B43709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Lehrmittel</w:t>
            </w:r>
          </w:p>
          <w:p w14:paraId="4165B1F6" w14:textId="0347135C" w:rsidR="00B43709" w:rsidRDefault="002A6A93" w:rsidP="00B4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Fachbücher, z.B.</w:t>
            </w:r>
            <w:r w:rsidR="00114A1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6908EC" w14:textId="77777777" w:rsidR="00B43709" w:rsidRDefault="00FE202A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Reparaturen, Service &amp; Unterhalt</w:t>
            </w:r>
          </w:p>
          <w:p w14:paraId="59884EC7" w14:textId="77777777" w:rsidR="00B43709" w:rsidRDefault="00B43709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Grundwissen für Zahntechniker VI</w:t>
            </w:r>
          </w:p>
          <w:p w14:paraId="5D430AAC" w14:textId="77777777" w:rsidR="00B43709" w:rsidRDefault="00B43709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Nichtmetalle II</w:t>
            </w:r>
          </w:p>
          <w:p w14:paraId="6FFD5547" w14:textId="57014ED2" w:rsidR="00B43709" w:rsidRDefault="00B92147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Zusammenfassungen («</w:t>
            </w:r>
            <w:r w:rsidR="00B43709">
              <w:rPr>
                <w:rFonts w:ascii="Arial" w:hAnsi="Arial" w:cs="Arial"/>
                <w:sz w:val="20"/>
                <w:szCs w:val="20"/>
              </w:rPr>
              <w:t>CD-Booklet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B4370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4BD7B1A" w14:textId="77777777" w:rsidR="00B43709" w:rsidRDefault="00B43709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Schaumodelle</w:t>
            </w:r>
          </w:p>
          <w:p w14:paraId="54288D74" w14:textId="77777777" w:rsidR="00B43709" w:rsidRDefault="00B43709" w:rsidP="002A6A93">
            <w:pPr>
              <w:pStyle w:val="Listenabsatz"/>
              <w:numPr>
                <w:ilvl w:val="0"/>
                <w:numId w:val="6"/>
              </w:numPr>
              <w:ind w:left="460" w:hanging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Skript</w:t>
            </w:r>
            <w:r w:rsidR="00FE202A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AE21BB5" w14:textId="26E8FC87" w:rsidR="00B43709" w:rsidRPr="004104B2" w:rsidRDefault="00FE202A" w:rsidP="002A6A93">
            <w:pPr>
              <w:pStyle w:val="Listenabsatz"/>
              <w:numPr>
                <w:ilvl w:val="0"/>
                <w:numId w:val="6"/>
              </w:numPr>
              <w:spacing w:after="60"/>
              <w:ind w:left="459" w:hanging="278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Praktische Beispiele</w:t>
            </w:r>
          </w:p>
        </w:tc>
        <w:tc>
          <w:tcPr>
            <w:tcW w:w="2977" w:type="dxa"/>
          </w:tcPr>
          <w:p w14:paraId="3F4DBF61" w14:textId="77777777" w:rsidR="00B43709" w:rsidRDefault="00B43709" w:rsidP="002A6A9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14:paraId="24B3B0CD" w14:textId="77777777" w:rsidR="00B43709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Auftrag Dokumentation aus Betrieb</w:t>
            </w:r>
          </w:p>
          <w:p w14:paraId="1C9263AB" w14:textId="77777777" w:rsidR="00B43709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Gruppenarbeiten zum Austausch verschieden Vorgehensweisen</w:t>
            </w:r>
          </w:p>
          <w:p w14:paraId="37065DA1" w14:textId="77777777" w:rsidR="00B43709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Einzelarbeit</w:t>
            </w:r>
          </w:p>
          <w:p w14:paraId="0A42C069" w14:textId="77777777" w:rsidR="00FE202A" w:rsidRPr="00FE202A" w:rsidRDefault="00FE202A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Nichtmetallebuch</w:t>
            </w:r>
          </w:p>
          <w:p w14:paraId="3DDC243B" w14:textId="77777777" w:rsidR="00FE202A" w:rsidRPr="004104B2" w:rsidRDefault="00FE202A" w:rsidP="002A6A93">
            <w:pPr>
              <w:pStyle w:val="Listenabsatz"/>
              <w:numPr>
                <w:ilvl w:val="0"/>
                <w:numId w:val="6"/>
              </w:numPr>
              <w:spacing w:after="60"/>
              <w:ind w:left="459" w:hanging="391"/>
              <w:rPr>
                <w:rFonts w:ascii="Arial" w:hAnsi="Arial" w:cs="Arial"/>
                <w:sz w:val="20"/>
                <w:szCs w:val="20"/>
              </w:rPr>
            </w:pPr>
            <w:r w:rsidRPr="00FE202A">
              <w:rPr>
                <w:rFonts w:ascii="Arial" w:hAnsi="Arial" w:cs="Arial"/>
                <w:sz w:val="20"/>
                <w:szCs w:val="20"/>
              </w:rPr>
              <w:t>Arbeitsblätter</w:t>
            </w:r>
          </w:p>
        </w:tc>
        <w:tc>
          <w:tcPr>
            <w:tcW w:w="2835" w:type="dxa"/>
          </w:tcPr>
          <w:p w14:paraId="4166CC17" w14:textId="77777777" w:rsidR="00B43709" w:rsidRDefault="00B43709" w:rsidP="002A6A93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Prüfungsmethode</w:t>
            </w:r>
          </w:p>
          <w:p w14:paraId="1FB07456" w14:textId="77777777" w:rsidR="00B43709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Arbeitsablauf exemplarisch mit Bildern/Beschreibungen festhalten</w:t>
            </w:r>
          </w:p>
          <w:p w14:paraId="4F6BC2E2" w14:textId="77777777" w:rsidR="00B43709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Fallbeispiel</w:t>
            </w:r>
          </w:p>
          <w:p w14:paraId="7420486B" w14:textId="77777777" w:rsidR="00B43709" w:rsidRPr="004104B2" w:rsidRDefault="00B43709" w:rsidP="00114A12">
            <w:pPr>
              <w:pStyle w:val="Listenabsatz"/>
              <w:numPr>
                <w:ilvl w:val="0"/>
                <w:numId w:val="6"/>
              </w:numPr>
              <w:ind w:left="460" w:hanging="3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Misserfolgsanalyse</w:t>
            </w:r>
          </w:p>
        </w:tc>
      </w:tr>
    </w:tbl>
    <w:p w14:paraId="7A4DC771" w14:textId="77777777" w:rsidR="00F7011B" w:rsidRPr="00BF27A0" w:rsidRDefault="00F7011B">
      <w:pPr>
        <w:rPr>
          <w:rFonts w:ascii="Arial" w:hAnsi="Arial" w:cs="Arial"/>
          <w:sz w:val="20"/>
          <w:szCs w:val="20"/>
        </w:rPr>
      </w:pPr>
    </w:p>
    <w:sectPr w:rsidR="00F7011B" w:rsidRPr="00BF27A0" w:rsidSect="00F82725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7052" w14:textId="77777777" w:rsidR="004F50E3" w:rsidRDefault="004F50E3" w:rsidP="00F7011B">
      <w:pPr>
        <w:spacing w:after="0" w:line="240" w:lineRule="auto"/>
      </w:pPr>
      <w:r>
        <w:separator/>
      </w:r>
    </w:p>
  </w:endnote>
  <w:endnote w:type="continuationSeparator" w:id="0">
    <w:p w14:paraId="6F184DB5" w14:textId="77777777" w:rsidR="004F50E3" w:rsidRDefault="004F50E3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638686D2" w14:textId="34DF987A" w:rsidR="004F50E3" w:rsidRPr="00795C0E" w:rsidRDefault="00795C0E" w:rsidP="00795C0E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Bruchreparatur einer Totalprothese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052F3F" w:rsidRPr="00052F3F">
          <w:rPr>
            <w:rFonts w:ascii="Arial" w:hAnsi="Arial" w:cs="Arial"/>
            <w:noProof/>
            <w:sz w:val="18"/>
            <w:szCs w:val="18"/>
            <w:lang w:val="de-DE"/>
          </w:rPr>
          <w:t>2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39E2" w14:textId="77777777" w:rsidR="004F50E3" w:rsidRDefault="004F50E3" w:rsidP="00F7011B">
      <w:pPr>
        <w:spacing w:after="0" w:line="240" w:lineRule="auto"/>
      </w:pPr>
      <w:r>
        <w:separator/>
      </w:r>
    </w:p>
  </w:footnote>
  <w:footnote w:type="continuationSeparator" w:id="0">
    <w:p w14:paraId="0519F533" w14:textId="77777777" w:rsidR="004F50E3" w:rsidRDefault="004F50E3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64C75" w14:textId="645B727F" w:rsidR="002A6A93" w:rsidRDefault="002A6A93">
    <w:pPr>
      <w:pStyle w:val="Kopfzeile"/>
    </w:pPr>
    <w:r>
      <w:rPr>
        <w:noProof/>
        <w:lang w:eastAsia="de-CH"/>
      </w:rPr>
      <w:drawing>
        <wp:inline distT="0" distB="0" distL="0" distR="0" wp14:anchorId="09CF59A5" wp14:editId="72AED526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445412" w14:textId="77777777" w:rsidR="002A6A93" w:rsidRDefault="002A6A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744"/>
    <w:multiLevelType w:val="hybridMultilevel"/>
    <w:tmpl w:val="EDE04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22C6E"/>
    <w:multiLevelType w:val="hybridMultilevel"/>
    <w:tmpl w:val="DB168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49016A6C"/>
    <w:multiLevelType w:val="hybridMultilevel"/>
    <w:tmpl w:val="6CC4280A"/>
    <w:lvl w:ilvl="0" w:tplc="95AEA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470E8"/>
    <w:multiLevelType w:val="hybridMultilevel"/>
    <w:tmpl w:val="8C18D6B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07C6983"/>
    <w:multiLevelType w:val="hybridMultilevel"/>
    <w:tmpl w:val="0BFC43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326ED"/>
    <w:rsid w:val="00036DB0"/>
    <w:rsid w:val="0004106B"/>
    <w:rsid w:val="00044A72"/>
    <w:rsid w:val="00052F3F"/>
    <w:rsid w:val="000659E1"/>
    <w:rsid w:val="00071E1F"/>
    <w:rsid w:val="00080D8C"/>
    <w:rsid w:val="000B3E78"/>
    <w:rsid w:val="00114A12"/>
    <w:rsid w:val="00115E94"/>
    <w:rsid w:val="001219AE"/>
    <w:rsid w:val="00144617"/>
    <w:rsid w:val="001A056F"/>
    <w:rsid w:val="001A17DA"/>
    <w:rsid w:val="001D55C9"/>
    <w:rsid w:val="001D7DAD"/>
    <w:rsid w:val="001E126B"/>
    <w:rsid w:val="00244CA1"/>
    <w:rsid w:val="00252098"/>
    <w:rsid w:val="0027130D"/>
    <w:rsid w:val="00271E2D"/>
    <w:rsid w:val="00277A45"/>
    <w:rsid w:val="002A2761"/>
    <w:rsid w:val="002A6A93"/>
    <w:rsid w:val="002B41F1"/>
    <w:rsid w:val="002D27F6"/>
    <w:rsid w:val="002E4646"/>
    <w:rsid w:val="002F5266"/>
    <w:rsid w:val="00352910"/>
    <w:rsid w:val="003601E6"/>
    <w:rsid w:val="00364E2D"/>
    <w:rsid w:val="003720FB"/>
    <w:rsid w:val="0037717B"/>
    <w:rsid w:val="003B3F85"/>
    <w:rsid w:val="003B6AC4"/>
    <w:rsid w:val="003E2CC0"/>
    <w:rsid w:val="003E2FC6"/>
    <w:rsid w:val="00406777"/>
    <w:rsid w:val="004104B2"/>
    <w:rsid w:val="004345F4"/>
    <w:rsid w:val="00447C16"/>
    <w:rsid w:val="00452EB0"/>
    <w:rsid w:val="004735D7"/>
    <w:rsid w:val="004A4A5B"/>
    <w:rsid w:val="004F50E3"/>
    <w:rsid w:val="00570309"/>
    <w:rsid w:val="00587410"/>
    <w:rsid w:val="00597D0D"/>
    <w:rsid w:val="005B3A91"/>
    <w:rsid w:val="005B5822"/>
    <w:rsid w:val="005C6AE5"/>
    <w:rsid w:val="005F6FA3"/>
    <w:rsid w:val="006025C1"/>
    <w:rsid w:val="00617633"/>
    <w:rsid w:val="00647D50"/>
    <w:rsid w:val="006F799A"/>
    <w:rsid w:val="00721159"/>
    <w:rsid w:val="0072627E"/>
    <w:rsid w:val="0075538D"/>
    <w:rsid w:val="00757DF8"/>
    <w:rsid w:val="0076670A"/>
    <w:rsid w:val="0078178B"/>
    <w:rsid w:val="00795C0E"/>
    <w:rsid w:val="007A59CB"/>
    <w:rsid w:val="007B7C34"/>
    <w:rsid w:val="007C7884"/>
    <w:rsid w:val="007E18EB"/>
    <w:rsid w:val="007E6278"/>
    <w:rsid w:val="008229A1"/>
    <w:rsid w:val="008260FC"/>
    <w:rsid w:val="008539D7"/>
    <w:rsid w:val="00866946"/>
    <w:rsid w:val="0089540A"/>
    <w:rsid w:val="008A543F"/>
    <w:rsid w:val="008B795B"/>
    <w:rsid w:val="008C5CD7"/>
    <w:rsid w:val="008F44C7"/>
    <w:rsid w:val="009121DF"/>
    <w:rsid w:val="00937EF8"/>
    <w:rsid w:val="00990D8B"/>
    <w:rsid w:val="0099508D"/>
    <w:rsid w:val="009B464F"/>
    <w:rsid w:val="009B6C8F"/>
    <w:rsid w:val="009C0D93"/>
    <w:rsid w:val="009C71F4"/>
    <w:rsid w:val="009D4E94"/>
    <w:rsid w:val="009E370B"/>
    <w:rsid w:val="00A21584"/>
    <w:rsid w:val="00A556D7"/>
    <w:rsid w:val="00A57E89"/>
    <w:rsid w:val="00AA0387"/>
    <w:rsid w:val="00AC441B"/>
    <w:rsid w:val="00AD51C7"/>
    <w:rsid w:val="00AD57C1"/>
    <w:rsid w:val="00AE7A1C"/>
    <w:rsid w:val="00AF29F2"/>
    <w:rsid w:val="00AF2E4B"/>
    <w:rsid w:val="00B07272"/>
    <w:rsid w:val="00B422B5"/>
    <w:rsid w:val="00B43709"/>
    <w:rsid w:val="00B92147"/>
    <w:rsid w:val="00B951A4"/>
    <w:rsid w:val="00BF27A0"/>
    <w:rsid w:val="00BF61F5"/>
    <w:rsid w:val="00C358FF"/>
    <w:rsid w:val="00C37469"/>
    <w:rsid w:val="00C510FE"/>
    <w:rsid w:val="00C653FF"/>
    <w:rsid w:val="00C67851"/>
    <w:rsid w:val="00CE4BAE"/>
    <w:rsid w:val="00D22D70"/>
    <w:rsid w:val="00D4098E"/>
    <w:rsid w:val="00D422BE"/>
    <w:rsid w:val="00D57162"/>
    <w:rsid w:val="00DA52E7"/>
    <w:rsid w:val="00DD46FF"/>
    <w:rsid w:val="00DE1404"/>
    <w:rsid w:val="00E05F7C"/>
    <w:rsid w:val="00E451B4"/>
    <w:rsid w:val="00E47563"/>
    <w:rsid w:val="00E660DD"/>
    <w:rsid w:val="00EB0B57"/>
    <w:rsid w:val="00EB5F5C"/>
    <w:rsid w:val="00EC3913"/>
    <w:rsid w:val="00ED7BAE"/>
    <w:rsid w:val="00F4646C"/>
    <w:rsid w:val="00F66E00"/>
    <w:rsid w:val="00F7011B"/>
    <w:rsid w:val="00F82725"/>
    <w:rsid w:val="00FB6A2D"/>
    <w:rsid w:val="00FD27B1"/>
    <w:rsid w:val="00FE202A"/>
    <w:rsid w:val="00FE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FB4FBA"/>
  <w15:docId w15:val="{035CDB29-DD81-443B-9312-F7C3689F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28</cp:revision>
  <cp:lastPrinted>2017-12-11T06:51:00Z</cp:lastPrinted>
  <dcterms:created xsi:type="dcterms:W3CDTF">2017-10-24T09:14:00Z</dcterms:created>
  <dcterms:modified xsi:type="dcterms:W3CDTF">2018-02-08T09:02:00Z</dcterms:modified>
</cp:coreProperties>
</file>